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C4D" w:rsidRDefault="00D67DDA" w:rsidP="00FF1C4D">
      <w:pPr>
        <w:jc w:val="both"/>
        <w:rPr>
          <w:rFonts w:ascii="Times New Roman" w:eastAsia="Times New Roman" w:hAnsi="Times New Roman"/>
          <w:color w:val="000000"/>
          <w:sz w:val="24"/>
          <w:szCs w:val="24"/>
          <w:lang w:val="sr-Cyrl-RS"/>
        </w:rPr>
      </w:pPr>
      <w:r w:rsidRPr="008437B8">
        <w:rPr>
          <w:rFonts w:ascii="Times New Roman" w:hAnsi="Times New Roman" w:cs="Times New Roman"/>
          <w:b/>
          <w:sz w:val="24"/>
          <w:szCs w:val="24"/>
          <w:lang w:val="sr-Cyrl-RS"/>
        </w:rPr>
        <w:t>ПРЕПОРУКА ОДИХР БРОЈ: 1</w:t>
      </w:r>
      <w:r w:rsidR="008437B8" w:rsidRPr="008437B8">
        <w:rPr>
          <w:rFonts w:ascii="Times New Roman" w:hAnsi="Times New Roman" w:cs="Times New Roman"/>
          <w:b/>
          <w:sz w:val="24"/>
          <w:szCs w:val="24"/>
          <w:lang w:val="sr-Cyrl-RS"/>
        </w:rPr>
        <w:t>6</w:t>
      </w:r>
      <w:r w:rsidRPr="008437B8">
        <w:rPr>
          <w:rFonts w:ascii="Times New Roman" w:hAnsi="Times New Roman" w:cs="Times New Roman"/>
          <w:b/>
          <w:sz w:val="24"/>
          <w:szCs w:val="24"/>
          <w:lang w:val="sr-Cyrl-RS"/>
        </w:rPr>
        <w:t>/202</w:t>
      </w:r>
      <w:r w:rsidR="005E0E48">
        <w:rPr>
          <w:rFonts w:ascii="Times New Roman" w:hAnsi="Times New Roman" w:cs="Times New Roman"/>
          <w:b/>
          <w:sz w:val="24"/>
          <w:szCs w:val="24"/>
          <w:lang w:val="sr-Cyrl-RS"/>
        </w:rPr>
        <w:t>2</w:t>
      </w:r>
      <w:r w:rsidR="008437B8" w:rsidRPr="008437B8">
        <w:rPr>
          <w:rFonts w:ascii="Times New Roman" w:hAnsi="Times New Roman"/>
          <w:sz w:val="24"/>
          <w:szCs w:val="24"/>
          <w:lang w:val="sr-Cyrl-RS"/>
        </w:rPr>
        <w:t xml:space="preserve"> која гласи: </w:t>
      </w:r>
      <w:r w:rsidR="008437B8" w:rsidRPr="008437B8">
        <w:rPr>
          <w:rFonts w:ascii="Arial" w:eastAsia="Times New Roman" w:hAnsi="Arial" w:cs="Arial"/>
          <w:color w:val="231F20"/>
          <w:sz w:val="20"/>
          <w:szCs w:val="20"/>
          <w:lang w:val="sr-Cyrl-RS"/>
        </w:rPr>
        <w:t xml:space="preserve"> </w:t>
      </w:r>
      <w:r w:rsidR="005E0E48" w:rsidRPr="005E0E48">
        <w:rPr>
          <w:rFonts w:ascii="Times New Roman" w:eastAsia="Times New Roman" w:hAnsi="Times New Roman"/>
          <w:color w:val="000000"/>
          <w:sz w:val="24"/>
          <w:szCs w:val="24"/>
        </w:rPr>
        <w:t>Да би се промовисали једнаки услови међу изборним учесницима, требало би размотрити увођење ограничења трошкова кампање. Законске рокове за расподелу јавних средстава за изборне кампање  треба прилагодити да би кампање имале смисла. Законом треба увести мере заштите од злоупотребе јавних средстава намењених за кампању.</w:t>
      </w:r>
    </w:p>
    <w:p w:rsidR="005E0E48" w:rsidRPr="005E0E48" w:rsidRDefault="005E0E48" w:rsidP="00FF1C4D">
      <w:pPr>
        <w:jc w:val="both"/>
        <w:rPr>
          <w:rFonts w:ascii="Times New Roman" w:eastAsia="Times New Roman" w:hAnsi="Times New Roman"/>
          <w:color w:val="231F20"/>
          <w:sz w:val="24"/>
          <w:szCs w:val="24"/>
          <w:lang w:val="sr-Cyrl-RS"/>
        </w:rPr>
      </w:pPr>
    </w:p>
    <w:p w:rsidR="00FF1C4D" w:rsidRPr="00647DA6" w:rsidRDefault="00FF1C4D" w:rsidP="00FF1C4D">
      <w:pPr>
        <w:jc w:val="both"/>
        <w:rPr>
          <w:rFonts w:ascii="Times New Roman" w:eastAsia="Times New Roman" w:hAnsi="Times New Roman"/>
          <w:b/>
          <w:color w:val="231F20"/>
          <w:sz w:val="24"/>
          <w:szCs w:val="24"/>
          <w:lang w:val="sr-Cyrl-RS"/>
        </w:rPr>
      </w:pPr>
      <w:r w:rsidRPr="00647DA6">
        <w:rPr>
          <w:rFonts w:ascii="Times New Roman" w:eastAsia="Times New Roman" w:hAnsi="Times New Roman"/>
          <w:b/>
          <w:color w:val="231F20"/>
          <w:sz w:val="24"/>
          <w:szCs w:val="24"/>
          <w:lang w:val="sr-Cyrl-RS"/>
        </w:rPr>
        <w:t>ПРЕДЛАГАЧ: ТРАНСПАРЕНТНОСТ СРБИЈА</w:t>
      </w:r>
    </w:p>
    <w:p w:rsidR="00FF1C4D" w:rsidRPr="00FF1C4D" w:rsidRDefault="00FF1C4D" w:rsidP="00FF1C4D">
      <w:pPr>
        <w:jc w:val="both"/>
        <w:rPr>
          <w:rFonts w:ascii="Times New Roman" w:eastAsia="Times New Roman" w:hAnsi="Times New Roman"/>
          <w:color w:val="231F20"/>
          <w:sz w:val="24"/>
          <w:szCs w:val="24"/>
          <w:lang w:val="sr-Cyrl-RS"/>
        </w:rPr>
      </w:pPr>
      <w:r>
        <w:rPr>
          <w:rFonts w:ascii="Times New Roman" w:eastAsia="Times New Roman" w:hAnsi="Times New Roman"/>
          <w:color w:val="231F20"/>
          <w:sz w:val="24"/>
          <w:szCs w:val="24"/>
          <w:lang w:val="sr-Cyrl-RS"/>
        </w:rPr>
        <w:t>Измене и допуне Закоан о финансирању политичких активности</w:t>
      </w:r>
    </w:p>
    <w:p w:rsidR="000A2A0F" w:rsidRDefault="000A2A0F" w:rsidP="005E0E48">
      <w:pPr>
        <w:spacing w:after="0" w:line="240" w:lineRule="auto"/>
        <w:jc w:val="both"/>
        <w:rPr>
          <w:rFonts w:ascii="Times New Roman" w:hAnsi="Times New Roman" w:cs="Times New Roman"/>
          <w:sz w:val="24"/>
          <w:szCs w:val="24"/>
          <w:lang w:val="sr-Cyrl-RS"/>
        </w:rPr>
      </w:pPr>
    </w:p>
    <w:p w:rsidR="00552894" w:rsidRPr="005E0E48" w:rsidRDefault="00552894" w:rsidP="00552894">
      <w:pPr>
        <w:jc w:val="both"/>
        <w:rPr>
          <w:rFonts w:ascii="Times New Roman" w:hAnsi="Times New Roman" w:cs="Times New Roman"/>
          <w:b/>
          <w:sz w:val="24"/>
          <w:szCs w:val="24"/>
          <w:lang w:val="sr-Cyrl-RS"/>
        </w:rPr>
      </w:pPr>
      <w:r w:rsidRPr="005E0E48">
        <w:rPr>
          <w:rFonts w:ascii="Times New Roman" w:hAnsi="Times New Roman" w:cs="Times New Roman"/>
          <w:b/>
          <w:sz w:val="24"/>
          <w:szCs w:val="24"/>
          <w:lang w:val="sr-Cyrl-RS"/>
        </w:rPr>
        <w:t xml:space="preserve">У члану 21, </w:t>
      </w:r>
      <w:r w:rsidR="005E0E48" w:rsidRPr="005E0E48">
        <w:rPr>
          <w:rFonts w:ascii="Times New Roman" w:hAnsi="Times New Roman" w:cs="Times New Roman"/>
          <w:b/>
          <w:sz w:val="24"/>
          <w:szCs w:val="24"/>
          <w:lang w:val="sr-Cyrl-RS"/>
        </w:rPr>
        <w:t xml:space="preserve">после </w:t>
      </w:r>
      <w:r w:rsidRPr="005E0E48">
        <w:rPr>
          <w:rFonts w:ascii="Times New Roman" w:hAnsi="Times New Roman" w:cs="Times New Roman"/>
          <w:b/>
          <w:sz w:val="24"/>
          <w:szCs w:val="24"/>
          <w:lang w:val="sr-Cyrl-RS"/>
        </w:rPr>
        <w:t xml:space="preserve">става 7, додају се нови ставови 8, 9, 10, 11 и 12 који гласе: </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 xml:space="preserve">„Политички субјект чија је изборна листа проглашена, који да изјаву о да ће користити средства из јавних извора за покриће трошкова изборне кампање и који положи изборно јемство може да поднесе захтев за превремену уплату дела средстава из става 1. овог члана. </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 xml:space="preserve">Захтев са доказима о испуњењу услова се подноси органу из става 7. овог члана, и може гласити на највише 1,25% износа из члана 20, ст. 1. овог закона. </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 xml:space="preserve">Орган из става 7. дужан је да по потпуном захтеву изврши уплату у року од два дана, а највише до вредности положеног изборног јемства до подношења захтева. </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 xml:space="preserve">Приликом уплате средстава политичком субјекту из става 8. овог члана на основу става 1, односно става 2. овог члана, износ уплате се умањује за износ који је том политичком субјекту исплаћен по захтеву за превремену уплату дела средстава. </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 xml:space="preserve">Када се избори понављају на мање од 3% укупног броја бирачких места, надлежна изборна комисија ће утврдити, најкасније приликом одређивања дана за гласање, а на основу података о укупном броју бирача на тим бирачким местима и до тада утврђених резултата избора, који политички субјекти ће извесно стећи право на расподелу средстава из става 2. овог члана и који ће минимални број мандата освојити. </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На основу акта изборне комисије из става 12. овог члана, надлежни орган из става 7. овог члана у року од пет дана утврђује износ који се може исплатити сваком политичком субјекту и додељује средства политичким субјектима до утврђеног износа.</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 xml:space="preserve">Приликом уплате средстава из става 2. овог члана, износ уплате се умањује за износ који је том политичком субјекту уплаћен на основу става 13. овог члана.“  </w:t>
      </w:r>
    </w:p>
    <w:p w:rsidR="00552894" w:rsidRPr="005E0E48" w:rsidRDefault="00552894" w:rsidP="00552894">
      <w:pPr>
        <w:jc w:val="both"/>
        <w:rPr>
          <w:rFonts w:ascii="Times New Roman" w:hAnsi="Times New Roman" w:cs="Times New Roman"/>
          <w:sz w:val="24"/>
          <w:szCs w:val="24"/>
          <w:lang w:val="sr-Cyrl-RS"/>
        </w:rPr>
      </w:pPr>
    </w:p>
    <w:p w:rsidR="00552894" w:rsidRPr="005E0E48" w:rsidRDefault="00552894" w:rsidP="005E0E48">
      <w:pPr>
        <w:jc w:val="center"/>
        <w:rPr>
          <w:rFonts w:ascii="Times New Roman" w:hAnsi="Times New Roman" w:cs="Times New Roman"/>
          <w:b/>
          <w:iCs/>
          <w:sz w:val="24"/>
          <w:szCs w:val="24"/>
          <w:lang w:val="sr-Cyrl-RS"/>
        </w:rPr>
      </w:pPr>
      <w:r w:rsidRPr="005E0E48">
        <w:rPr>
          <w:rFonts w:ascii="Times New Roman" w:hAnsi="Times New Roman" w:cs="Times New Roman"/>
          <w:b/>
          <w:iCs/>
          <w:sz w:val="24"/>
          <w:szCs w:val="24"/>
          <w:lang w:val="sr-Cyrl-RS"/>
        </w:rPr>
        <w:t>Образложење</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 xml:space="preserve">Препорука </w:t>
      </w:r>
      <w:r w:rsidRPr="005E0E48">
        <w:rPr>
          <w:rFonts w:ascii="Times New Roman" w:hAnsi="Times New Roman" w:cs="Times New Roman"/>
          <w:b/>
          <w:bCs/>
          <w:sz w:val="24"/>
          <w:szCs w:val="24"/>
          <w:lang w:val="sr-Cyrl-RS"/>
        </w:rPr>
        <w:t xml:space="preserve">ОДИХР број 16 након избора из 2022. </w:t>
      </w:r>
      <w:r w:rsidRPr="005E0E48">
        <w:rPr>
          <w:rFonts w:ascii="Times New Roman" w:hAnsi="Times New Roman" w:cs="Times New Roman"/>
          <w:sz w:val="24"/>
          <w:szCs w:val="24"/>
          <w:lang w:val="sr-Cyrl-RS"/>
        </w:rPr>
        <w:t xml:space="preserve">указује, између осталог, да би законске рокове за расподелу јавних средстава за изборне кампање требало прилагодити да би кампање имале смисла. </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lastRenderedPageBreak/>
        <w:t xml:space="preserve">Реализација препоруке у пуном обиму захтева темељну измену система расподеле буџетских дотација за кампању који постоји још од 2003. године, а који се показао као вишеструко проблематичан. Средства се расподељују из два дела. Први део се расподељује пре избора, али тек пред крај изборне кампање, па учесници не могу тим новцем да располажу у доба када им је најпотребнији иако на њега имају право. Поред тога, висина ових дотација зависи од чинилаца који немају логичке везе са стварним потребама политичких субјеката да се представе бирачима. Други део новца из буџета се расподељује тек након окончања целокупног изборног поступка, што у пракси доводи до тешких последица по политичке субјекте и њихове добављаче у случају вишеструког понављања избора на неком бирачком месту (као нпр. 2022). Такође, овај начин дистрибуције доводи до ситуација које буде озбиљну сумњу да су приказани нетачни подаци, јер се висина трошкова који ће бити приказани прилагођава околности која је неизвесна у моменту настанка трошкова. Наиме износ који политички субјекти добијају у другој транши одређује се према броју освојених гласова на изборима, а сви трошкови изборне кампање настају пре гласања.   </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 xml:space="preserve">Овде се предлажу минималне законске интервенције које би омогућиле да политички субјекти чија је изборна листа проглашена, добију могућност да користе део јавних средстава на која ће извесно имати право, у што је могуће ранијем делу кампање. У том смислу предложен је начин који би обезбедио да учесници избора који поднесу изборну листу и положе изборно јемство, добију део средстава за финансирање изборне кампање из буџета у року од два дана од достављања захтева и потребне документације, а не тек пет дана након што буде утврђена збирна изборна листа. Пошто тачан износ на који ће сваки политички субјект имати право по овом основу у том тренутку није познат (јер се не зна колико ће укупно бити изборних листа), предложено је решење које ствара минималне ризике по буџет. Наиме, кроз превремену уплату дела средстава, политички субјект може да добије највише 1,25% износа који се додељује из буџета за финансирање изборне кампање свих учесника, што одговара ситуацији у којој би на изборима учествовале чак 32 изборне листе, док је у стварности тај број мањи (обично није већи од 25). Висина износа који ће бити исплаћен по основу превремене уплате не може бити већи од износа положеног као изборно јемство (до тог момента). </w:t>
      </w:r>
      <w:bookmarkStart w:id="0" w:name="_GoBack"/>
      <w:bookmarkEnd w:id="0"/>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 xml:space="preserve">Друга интервенција односи се на исплату буџетских дотација након одржаних избора, политичким субјектима који су освојили мандате. Тренутно законско решење је такво да се новац расподељује тек након што изборни поступак буде у потпуности окончан, чак и у ситуацијама када се избори понављају на само једном бирачком месту (што је био случај 2022). То неоправдано доводи политичке субјекте и њихове добављаче у тешку финансијску ситуацију, а последично проузрокује и касније подношење извештаја о трошковима кампање. </w:t>
      </w:r>
    </w:p>
    <w:p w:rsidR="00552894" w:rsidRPr="005E0E48" w:rsidRDefault="00552894" w:rsidP="00552894">
      <w:pPr>
        <w:jc w:val="both"/>
        <w:rPr>
          <w:rFonts w:ascii="Times New Roman" w:hAnsi="Times New Roman" w:cs="Times New Roman"/>
          <w:sz w:val="24"/>
          <w:szCs w:val="24"/>
          <w:lang w:val="sr-Cyrl-RS"/>
        </w:rPr>
      </w:pPr>
      <w:r w:rsidRPr="005E0E48">
        <w:rPr>
          <w:rFonts w:ascii="Times New Roman" w:hAnsi="Times New Roman" w:cs="Times New Roman"/>
          <w:sz w:val="24"/>
          <w:szCs w:val="24"/>
          <w:lang w:val="sr-Cyrl-RS"/>
        </w:rPr>
        <w:t xml:space="preserve">Стога је предложено да у ситуацијама када се избори понављају на мање од 3% укупног броја бирачких места, надлежна изборна комисија буде дужна да утврди, најкасније приликом одређивања дана за гласање на тим бирачким местима, који политички субјекти ће извесно остварити право на буџетска средства, зато што ће имати више од 1%, односно </w:t>
      </w:r>
      <w:r w:rsidRPr="005E0E48">
        <w:rPr>
          <w:rFonts w:ascii="Times New Roman" w:hAnsi="Times New Roman" w:cs="Times New Roman"/>
          <w:sz w:val="24"/>
          <w:szCs w:val="24"/>
          <w:lang w:val="sr-Cyrl-RS"/>
        </w:rPr>
        <w:lastRenderedPageBreak/>
        <w:t xml:space="preserve">0,2% важећих гласова, односно зато што ће извесно имати прећи цензус за улазак у скупштину. Изборна комисија ће те податке утврдити на основу прелиминарних резултата избора, као и на основу броја уписаних бирача на изборним местима где се избори понављају (на пример, ако је уписано укупно 10.000 бирача, онда се мора поћи од претпоставке да ће сви гласати и да сви могу гласати за само једну изборну листу). На основу тих информација орган надлежан за послове финансија утврђује износ који се може исплатити сваком политичком субјекту и врши ту исплату. На тај начин ће, на пример, политички субјект који ће извесно освојити 20 мандата, добити одговарајући део средстава за покриће трошкова изборне кампање, док ће остатак суме, ако освоји још један мандат, добити након утврђивања коначних резултата избора. </w:t>
      </w:r>
    </w:p>
    <w:p w:rsidR="00552894" w:rsidRPr="005E0E48" w:rsidRDefault="00552894" w:rsidP="00552894">
      <w:pPr>
        <w:jc w:val="both"/>
        <w:rPr>
          <w:rFonts w:ascii="Times New Roman" w:hAnsi="Times New Roman" w:cs="Times New Roman"/>
          <w:sz w:val="24"/>
          <w:szCs w:val="24"/>
          <w:lang w:val="sr-Cyrl-RS"/>
        </w:rPr>
      </w:pPr>
    </w:p>
    <w:p w:rsidR="000A2A0F" w:rsidRPr="005E0E48" w:rsidRDefault="000A2A0F" w:rsidP="00552894">
      <w:pPr>
        <w:jc w:val="both"/>
        <w:rPr>
          <w:rFonts w:ascii="Times New Roman" w:hAnsi="Times New Roman" w:cs="Times New Roman"/>
          <w:sz w:val="24"/>
          <w:szCs w:val="24"/>
        </w:rPr>
      </w:pPr>
    </w:p>
    <w:sectPr w:rsidR="000A2A0F" w:rsidRPr="005E0E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1911"/>
    <w:multiLevelType w:val="hybridMultilevel"/>
    <w:tmpl w:val="E79A9F72"/>
    <w:lvl w:ilvl="0" w:tplc="785CE6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E21753"/>
    <w:multiLevelType w:val="hybridMultilevel"/>
    <w:tmpl w:val="AD7265F4"/>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78C1610D"/>
    <w:multiLevelType w:val="hybridMultilevel"/>
    <w:tmpl w:val="138C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BA"/>
    <w:rsid w:val="000A2A0F"/>
    <w:rsid w:val="00161F00"/>
    <w:rsid w:val="002C09E1"/>
    <w:rsid w:val="004B4867"/>
    <w:rsid w:val="00552894"/>
    <w:rsid w:val="005E0E48"/>
    <w:rsid w:val="005F61F0"/>
    <w:rsid w:val="00647DA6"/>
    <w:rsid w:val="00782A39"/>
    <w:rsid w:val="008437B8"/>
    <w:rsid w:val="008500C7"/>
    <w:rsid w:val="008D2844"/>
    <w:rsid w:val="00AE34B0"/>
    <w:rsid w:val="00B021B8"/>
    <w:rsid w:val="00B575BA"/>
    <w:rsid w:val="00D24F43"/>
    <w:rsid w:val="00D67DDA"/>
    <w:rsid w:val="00FF03DF"/>
    <w:rsid w:val="00FF1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5BA"/>
    <w:rPr>
      <w:lang w:val="sr-Latn-RS"/>
    </w:rPr>
  </w:style>
  <w:style w:type="paragraph" w:styleId="Heading4">
    <w:name w:val="heading 4"/>
    <w:next w:val="Normal"/>
    <w:link w:val="Heading4Char"/>
    <w:uiPriority w:val="9"/>
    <w:unhideWhenUsed/>
    <w:qFormat/>
    <w:rsid w:val="00552894"/>
    <w:pPr>
      <w:keepNext/>
      <w:keepLines/>
      <w:widowControl w:val="0"/>
      <w:suppressAutoHyphens/>
      <w:autoSpaceDE w:val="0"/>
      <w:autoSpaceDN w:val="0"/>
      <w:spacing w:before="240" w:after="0" w:line="240" w:lineRule="auto"/>
      <w:outlineLvl w:val="3"/>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2A0F"/>
    <w:pPr>
      <w:spacing w:after="0" w:line="240" w:lineRule="auto"/>
      <w:ind w:left="720"/>
      <w:contextualSpacing/>
    </w:pPr>
    <w:rPr>
      <w:rFonts w:ascii="Calibri" w:hAnsi="Calibri" w:cs="Times New Roman"/>
      <w:lang w:val="en-US"/>
    </w:rPr>
  </w:style>
  <w:style w:type="character" w:customStyle="1" w:styleId="ListParagraphChar">
    <w:name w:val="List Paragraph Char"/>
    <w:basedOn w:val="DefaultParagraphFont"/>
    <w:link w:val="ListParagraph"/>
    <w:uiPriority w:val="34"/>
    <w:rsid w:val="005F61F0"/>
    <w:rPr>
      <w:rFonts w:ascii="Calibri" w:hAnsi="Calibri" w:cs="Times New Roman"/>
    </w:rPr>
  </w:style>
  <w:style w:type="character" w:customStyle="1" w:styleId="Heading4Char">
    <w:name w:val="Heading 4 Char"/>
    <w:basedOn w:val="DefaultParagraphFont"/>
    <w:link w:val="Heading4"/>
    <w:uiPriority w:val="9"/>
    <w:rsid w:val="00552894"/>
    <w:rPr>
      <w:rFonts w:ascii="Arial" w:eastAsiaTheme="majorEastAsia" w:hAnsi="Arial" w:cstheme="majorBidi"/>
      <w:b/>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5BA"/>
    <w:rPr>
      <w:lang w:val="sr-Latn-RS"/>
    </w:rPr>
  </w:style>
  <w:style w:type="paragraph" w:styleId="Heading4">
    <w:name w:val="heading 4"/>
    <w:next w:val="Normal"/>
    <w:link w:val="Heading4Char"/>
    <w:uiPriority w:val="9"/>
    <w:unhideWhenUsed/>
    <w:qFormat/>
    <w:rsid w:val="00552894"/>
    <w:pPr>
      <w:keepNext/>
      <w:keepLines/>
      <w:widowControl w:val="0"/>
      <w:suppressAutoHyphens/>
      <w:autoSpaceDE w:val="0"/>
      <w:autoSpaceDN w:val="0"/>
      <w:spacing w:before="240" w:after="0" w:line="240" w:lineRule="auto"/>
      <w:outlineLvl w:val="3"/>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2A0F"/>
    <w:pPr>
      <w:spacing w:after="0" w:line="240" w:lineRule="auto"/>
      <w:ind w:left="720"/>
      <w:contextualSpacing/>
    </w:pPr>
    <w:rPr>
      <w:rFonts w:ascii="Calibri" w:hAnsi="Calibri" w:cs="Times New Roman"/>
      <w:lang w:val="en-US"/>
    </w:rPr>
  </w:style>
  <w:style w:type="character" w:customStyle="1" w:styleId="ListParagraphChar">
    <w:name w:val="List Paragraph Char"/>
    <w:basedOn w:val="DefaultParagraphFont"/>
    <w:link w:val="ListParagraph"/>
    <w:uiPriority w:val="34"/>
    <w:rsid w:val="005F61F0"/>
    <w:rPr>
      <w:rFonts w:ascii="Calibri" w:hAnsi="Calibri" w:cs="Times New Roman"/>
    </w:rPr>
  </w:style>
  <w:style w:type="character" w:customStyle="1" w:styleId="Heading4Char">
    <w:name w:val="Heading 4 Char"/>
    <w:basedOn w:val="DefaultParagraphFont"/>
    <w:link w:val="Heading4"/>
    <w:uiPriority w:val="9"/>
    <w:rsid w:val="00552894"/>
    <w:rPr>
      <w:rFonts w:ascii="Arial" w:eastAsiaTheme="majorEastAsia" w:hAnsi="Arial"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263091">
      <w:bodyDiv w:val="1"/>
      <w:marLeft w:val="0"/>
      <w:marRight w:val="0"/>
      <w:marTop w:val="0"/>
      <w:marBottom w:val="0"/>
      <w:divBdr>
        <w:top w:val="none" w:sz="0" w:space="0" w:color="auto"/>
        <w:left w:val="none" w:sz="0" w:space="0" w:color="auto"/>
        <w:bottom w:val="none" w:sz="0" w:space="0" w:color="auto"/>
        <w:right w:val="none" w:sz="0" w:space="0" w:color="auto"/>
      </w:divBdr>
    </w:div>
    <w:div w:id="191065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Odborska sala Plavi salon</dc:creator>
  <cp:lastModifiedBy>Ivan Marinković</cp:lastModifiedBy>
  <cp:revision>3</cp:revision>
  <dcterms:created xsi:type="dcterms:W3CDTF">2024-05-13T18:33:00Z</dcterms:created>
  <dcterms:modified xsi:type="dcterms:W3CDTF">2024-05-13T18:39:00Z</dcterms:modified>
</cp:coreProperties>
</file>